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79290CFD" w:rsidR="00D95AF3" w:rsidRPr="00B866F7" w:rsidRDefault="005F7CB1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Nameja iela 4</w:t>
            </w:r>
            <w:r w:rsidR="00E836FD" w:rsidRPr="00E836FD">
              <w:rPr>
                <w:rFonts w:ascii="Times New Roman" w:hAnsi="Times New Roman" w:cs="Times New Roman"/>
                <w:sz w:val="24"/>
                <w:szCs w:val="24"/>
              </w:rPr>
              <w:t>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32906898" w14:textId="77777777" w:rsidR="00E836FD" w:rsidRPr="00E836FD" w:rsidRDefault="00E836FD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</w:rPr>
              <w:t>Slēgtas atkritumu novietnes izbūve nekustamā īpašumā</w:t>
            </w:r>
          </w:p>
          <w:p w14:paraId="58DE074C" w14:textId="74155639" w:rsidR="00D95AF3" w:rsidRPr="00F81D2C" w:rsidRDefault="005F7CB1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Nameja iela 4</w:t>
            </w:r>
            <w:r w:rsidR="00E836FD" w:rsidRPr="00E836FD">
              <w:rPr>
                <w:rFonts w:ascii="Times New Roman" w:hAnsi="Times New Roman" w:cs="Times New Roman"/>
                <w:sz w:val="24"/>
                <w:szCs w:val="24"/>
              </w:rPr>
              <w:t>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947B" w14:textId="77777777" w:rsidR="00B86D55" w:rsidRDefault="00B86D55" w:rsidP="00AA3CB3">
      <w:pPr>
        <w:spacing w:after="0" w:line="240" w:lineRule="auto"/>
      </w:pPr>
      <w:r>
        <w:separator/>
      </w:r>
    </w:p>
  </w:endnote>
  <w:endnote w:type="continuationSeparator" w:id="0">
    <w:p w14:paraId="211B14E8" w14:textId="77777777" w:rsidR="00B86D55" w:rsidRDefault="00B86D55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9DF0" w14:textId="77777777" w:rsidR="00B86D55" w:rsidRDefault="00B86D55" w:rsidP="00AA3CB3">
      <w:pPr>
        <w:spacing w:after="0" w:line="240" w:lineRule="auto"/>
      </w:pPr>
      <w:r>
        <w:separator/>
      </w:r>
    </w:p>
  </w:footnote>
  <w:footnote w:type="continuationSeparator" w:id="0">
    <w:p w14:paraId="0C2AA56E" w14:textId="77777777" w:rsidR="00B86D55" w:rsidRDefault="00B86D55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77460"/>
    <w:rsid w:val="001B5C9F"/>
    <w:rsid w:val="001B7046"/>
    <w:rsid w:val="001D5F37"/>
    <w:rsid w:val="00216B72"/>
    <w:rsid w:val="00285CC7"/>
    <w:rsid w:val="002914F2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56E2"/>
    <w:rsid w:val="004C6459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5F7CB1"/>
    <w:rsid w:val="0060118D"/>
    <w:rsid w:val="0060470F"/>
    <w:rsid w:val="00605670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E002A"/>
    <w:rsid w:val="007F298E"/>
    <w:rsid w:val="008176B7"/>
    <w:rsid w:val="00827E0B"/>
    <w:rsid w:val="00841E65"/>
    <w:rsid w:val="00884FD5"/>
    <w:rsid w:val="008B3010"/>
    <w:rsid w:val="008B4B71"/>
    <w:rsid w:val="008E2796"/>
    <w:rsid w:val="008E79AB"/>
    <w:rsid w:val="008F6FD6"/>
    <w:rsid w:val="00902ACC"/>
    <w:rsid w:val="00942580"/>
    <w:rsid w:val="00963802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29ED"/>
    <w:rsid w:val="00B772D9"/>
    <w:rsid w:val="00B866F7"/>
    <w:rsid w:val="00B86D55"/>
    <w:rsid w:val="00BA006A"/>
    <w:rsid w:val="00BA5B80"/>
    <w:rsid w:val="00BB2FEC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08CB"/>
    <w:rsid w:val="00E151E3"/>
    <w:rsid w:val="00E564B6"/>
    <w:rsid w:val="00E710EA"/>
    <w:rsid w:val="00E836FD"/>
    <w:rsid w:val="00E947E4"/>
    <w:rsid w:val="00EB742B"/>
    <w:rsid w:val="00EB7DDC"/>
    <w:rsid w:val="00EC0603"/>
    <w:rsid w:val="00EF6C59"/>
    <w:rsid w:val="00F32C8F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3</cp:revision>
  <cp:lastPrinted>2024-01-24T06:26:00Z</cp:lastPrinted>
  <dcterms:created xsi:type="dcterms:W3CDTF">2026-02-18T15:57:00Z</dcterms:created>
  <dcterms:modified xsi:type="dcterms:W3CDTF">2026-02-18T15:59:00Z</dcterms:modified>
</cp:coreProperties>
</file>